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EB" w:rsidRPr="00FE447B" w:rsidRDefault="00A5105A" w:rsidP="00113BF0">
      <w:pPr>
        <w:jc w:val="center"/>
        <w:rPr>
          <w:rFonts w:ascii="Verdana" w:hAnsi="Verdana" w:cs="Helvetica"/>
          <w:b/>
          <w:color w:val="FF0000"/>
          <w:sz w:val="32"/>
          <w:szCs w:val="32"/>
          <w:shd w:val="clear" w:color="auto" w:fill="FFFFFF"/>
          <w:lang w:val="en-US"/>
        </w:rPr>
      </w:pPr>
      <w:r w:rsidRPr="00FE447B">
        <w:rPr>
          <w:rFonts w:ascii="Verdana" w:hAnsi="Verdana" w:cs="Helvetica"/>
          <w:b/>
          <w:color w:val="FF0000"/>
          <w:sz w:val="32"/>
          <w:szCs w:val="32"/>
          <w:shd w:val="clear" w:color="auto" w:fill="FFFFFF"/>
        </w:rPr>
        <w:t xml:space="preserve">НЕПАЛ: ГРУППОВОЙ ТУР ТРЕК В </w:t>
      </w:r>
      <w:proofErr w:type="gramStart"/>
      <w:r w:rsidRPr="00FE447B">
        <w:rPr>
          <w:rFonts w:ascii="Verdana" w:hAnsi="Verdana" w:cs="Helvetica"/>
          <w:b/>
          <w:color w:val="FF0000"/>
          <w:sz w:val="32"/>
          <w:szCs w:val="32"/>
          <w:shd w:val="clear" w:color="auto" w:fill="FFFFFF"/>
        </w:rPr>
        <w:t>ГИМАЛАЯХ</w:t>
      </w:r>
      <w:proofErr w:type="gramEnd"/>
      <w:r w:rsidRPr="00FE447B">
        <w:rPr>
          <w:rFonts w:ascii="Verdana" w:hAnsi="Verdana" w:cs="Helvetica"/>
          <w:b/>
          <w:color w:val="FF0000"/>
          <w:sz w:val="32"/>
          <w:szCs w:val="32"/>
          <w:shd w:val="clear" w:color="auto" w:fill="FFFFFF"/>
        </w:rPr>
        <w:t xml:space="preserve"> И ЦЕЛЕБНЫЕ ИСТОЧНИКИ</w:t>
      </w:r>
    </w:p>
    <w:p w:rsidR="00A5105A" w:rsidRPr="00113BF0" w:rsidRDefault="00A5105A" w:rsidP="00113BF0">
      <w:pPr>
        <w:jc w:val="center"/>
        <w:rPr>
          <w:rFonts w:ascii="Verdana" w:hAnsi="Verdana" w:cs="Helvetica"/>
          <w:b/>
          <w:color w:val="002060"/>
          <w:sz w:val="24"/>
          <w:szCs w:val="24"/>
          <w:shd w:val="clear" w:color="auto" w:fill="FFFFFF"/>
          <w:lang w:val="en-US"/>
        </w:rPr>
      </w:pP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Груп</w:t>
      </w:r>
      <w:r w:rsidR="00113BF0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повой тур с русскоязычным гидом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2060"/>
          <w:sz w:val="28"/>
          <w:szCs w:val="28"/>
          <w:u w:val="single"/>
          <w:lang w:eastAsia="ru-RU"/>
        </w:rPr>
      </w:pPr>
      <w:r w:rsidRPr="00A5105A">
        <w:rPr>
          <w:rFonts w:ascii="Verdana" w:eastAsia="Times New Roman" w:hAnsi="Verdana" w:cs="Helvetica"/>
          <w:b/>
          <w:color w:val="002060"/>
          <w:sz w:val="28"/>
          <w:szCs w:val="28"/>
          <w:u w:val="single"/>
          <w:lang w:eastAsia="ru-RU"/>
        </w:rPr>
        <w:t>Даты заездов: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22.04-01.05.2019;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03.11-12.11.2019;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16.09-25.09.2019;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2060"/>
          <w:sz w:val="24"/>
          <w:szCs w:val="24"/>
          <w:u w:val="single"/>
          <w:lang w:eastAsia="ru-RU"/>
        </w:rPr>
      </w:pPr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u w:val="single"/>
          <w:lang w:eastAsia="ru-RU"/>
        </w:rPr>
        <w:t>10 дней/9 ночей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Природные термальные источники в гималайской деревушке </w:t>
      </w:r>
      <w:proofErr w:type="spellStart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Джинуданда</w:t>
      </w:r>
      <w:proofErr w:type="spellEnd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 обладают целебными свойствами. Источники окружены горными хребтами, горной рекой </w:t>
      </w:r>
      <w:proofErr w:type="spellStart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Моди-Кхола</w:t>
      </w:r>
      <w:proofErr w:type="spellEnd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 и водопадами, вдали виднеется </w:t>
      </w:r>
      <w:proofErr w:type="gramStart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Южная</w:t>
      </w:r>
      <w:proofErr w:type="gramEnd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 </w:t>
      </w:r>
      <w:proofErr w:type="spellStart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Аннапурна</w:t>
      </w:r>
      <w:proofErr w:type="spellEnd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 (7219 м).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Программа также предполагает трек на территорию национального парка </w:t>
      </w:r>
      <w:proofErr w:type="spellStart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Аннапурна</w:t>
      </w:r>
      <w:proofErr w:type="spellEnd"/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, где произрастает свыше 1200 растений,  в том числе, около 40 видов орхидей; 40 видов рододендронов; </w:t>
      </w:r>
      <w:r w:rsidR="00FE447B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обитает </w:t>
      </w: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100 видов млекопитающих; 478 видов птиц, 39 видов рептилий, 22 видом амфибий. Великое множество насекомых, красивейших редких бабочек и мотыльков.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FE447B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</w:pP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Катманд</w:t>
      </w:r>
      <w:proofErr w:type="gram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у-</w:t>
      </w:r>
      <w:proofErr w:type="gram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Патан- ХРАМ ИСПОЛНЕНИЯ ЖЕЛАНИЙ - </w:t>
      </w: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Покхара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– Трек </w:t>
      </w: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Наяпул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– </w:t>
      </w: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Гандрук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-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</w:pP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Джинуданда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– Целебные горячие источник</w:t>
      </w:r>
      <w:proofErr w:type="gram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и-</w:t>
      </w:r>
      <w:proofErr w:type="gram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Трек </w:t>
      </w: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Джинуданда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– </w:t>
      </w: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Сяули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Базар – </w:t>
      </w:r>
      <w:proofErr w:type="spellStart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Покхара-Саранкот</w:t>
      </w:r>
      <w:proofErr w:type="spellEnd"/>
      <w:r w:rsidRPr="00A5105A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- Катманду</w:t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</w:pPr>
      <w:r w:rsidRPr="00A5105A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p w:rsidR="00A5105A" w:rsidRPr="00A5105A" w:rsidRDefault="00A5105A" w:rsidP="00113B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</w:pPr>
      <w:r w:rsidRPr="00A5105A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>ПРОГРАММА ТУРА:</w:t>
      </w:r>
    </w:p>
    <w:p w:rsidR="00A5105A" w:rsidRPr="00113BF0" w:rsidRDefault="00A5105A">
      <w:pPr>
        <w:rPr>
          <w:rFonts w:ascii="Verdana" w:hAnsi="Verdana"/>
          <w:color w:val="00206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7154"/>
      </w:tblGrid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День 01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Прилет в Катманду (1400 м)</w:t>
            </w:r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Прибытие в Катманду – столицу Непала. Встреча в аэропорту, трансфер и размещение в отеле.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День 02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Дарбар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21 САКРАЛЬНОЕ МЕСТО - Патан</w:t>
            </w:r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Завтрак. По желанию посещение тибетского доктора (диагностика работы организма по пульсу + лекарство - доп. плата). Экскурсии: во дворец площади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Дарбар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– сердце Катманду и его исторический центр; в дом-храм Живой Богини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Кумари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. Переезд в Годавари – одно из красивейших священных мест в долине Катманду. Паломников-индуистов влечёт сюда бассейн с кристально чистой водой, созданный, согласно легенде самим Шивой, который любил прогуливаться в здешних местах со своей супругой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Парвати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 Считается, что вода из купальни обладает чудодейственными свойствами – она способна смыть грехи, омолодить тело и излечить от болезней. Это одно из 21 сакральных мест тибетского буддизма.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Дальнейший переезд в город мастеров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Патан (299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н</w:t>
            </w:r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.э</w:t>
            </w:r>
            <w:proofErr w:type="spellEnd"/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) - столицу княжес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тва в долине Катманду. Посещение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Дворцовой площади и Королевского дворца, включая храмы: Кришны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Мандир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, Вишну и Шивы,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Рудра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Варна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Махавихар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и храм</w:t>
            </w:r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ысячи Будд (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Маххабудда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), Золотой храм (Будды), Мангал базара и др.</w:t>
            </w:r>
          </w:p>
          <w:p w:rsidR="00113BF0" w:rsidRPr="00FE447B" w:rsidRDefault="00113BF0" w:rsidP="00FE447B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Ночь в гостинице.</w:t>
            </w:r>
          </w:p>
          <w:p w:rsidR="00FE447B" w:rsidRPr="00FE447B" w:rsidRDefault="00FE447B" w:rsidP="00FE447B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</w:p>
          <w:p w:rsidR="00FE447B" w:rsidRPr="00FE447B" w:rsidRDefault="00FE447B" w:rsidP="00FE447B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FE447B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Патан или </w:t>
            </w:r>
            <w:proofErr w:type="spellStart"/>
            <w:r w:rsidRPr="00FE447B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Лалитпур</w:t>
            </w:r>
            <w:proofErr w:type="spellEnd"/>
            <w:r w:rsidRPr="00FE447B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(город красоты)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 – </w:t>
            </w:r>
            <w:proofErr w:type="gram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известен огромным количеством достопримечательностей и лавок и считается</w:t>
            </w:r>
            <w:proofErr w:type="gram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центром художников, ремесленников, ювелиров и архитекторов народности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невари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, создающих волшебные произведения.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День 03 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Лама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Ринпоче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Боуднатх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- Пещера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Падмасамбхава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Город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Киртипур</w:t>
            </w:r>
            <w:proofErr w:type="spellEnd"/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Завтрак. Визит к ЛАМЕ РИНПОЧЕ за благословением (по ж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еланию можно приобрести амулеты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). Экскурсия к буддийской ступе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Боуднатх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. Переезд в деревушку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Фарп</w:t>
            </w:r>
            <w:r w:rsidR="00016AC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инга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, где в VIII в. в пещере медитировал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Падмасамбхава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, Гуру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Ринпоче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, величайший просветленный, чей приход предсказал сам Будда.</w:t>
            </w:r>
          </w:p>
          <w:p w:rsidR="00113BF0" w:rsidRPr="00FE447B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неварский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Киртипур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, основанный в VII в. как предместье Патана, 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позднее ставший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независимым городом-государством, управляемым династией семейства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Малла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. Здесь есть множество индуистских и буддийских храмов, домов с затейливой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неварской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резьбой по дереву, а сами жители </w:t>
            </w:r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одеты в традиционны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е национальные костюмы и работаю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т</w:t>
            </w:r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на античных ткацких станках. Ночь в гостинице.</w:t>
            </w:r>
          </w:p>
          <w:p w:rsidR="00113BF0" w:rsidRPr="00016ACC" w:rsidRDefault="00FE447B" w:rsidP="00016ACC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br/>
            </w:r>
            <w:proofErr w:type="spellStart"/>
            <w:r w:rsidRPr="00FE447B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Боу</w:t>
            </w:r>
            <w:r w:rsidRPr="00FE447B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дданатх</w:t>
            </w:r>
            <w:proofErr w:type="spellEnd"/>
            <w:r w:rsidRPr="00FE447B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-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 одна из самых больших и древнейших ступ в мире (VI век). Построена в виде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мандалы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- схемы Вселенной, дата ее основания точно неизвестна, но некоторые специалисты считают, что 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первая ступа на этом месте была построена в 600 году, затем разрушена в войне в XIV веке, позднее заново восстановлена. Сегодня это большой храмовый комплекс, в центре которого стоит большая ступа, а вокруг расположено около 50 тибетских монастырей.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Боудданатх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- один из самых популярных центров паломничества в Непале, который обязательно посещают туристы.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 xml:space="preserve">День 04 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Катманду – ХРАМ ИСПОЛНЕНИЕ ЖЕЛАНИЙ -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Покхара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Фева</w:t>
            </w:r>
            <w:proofErr w:type="spellEnd"/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 w:rsidP="00FE447B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Завтрак. Утром отъезд в горный живописный курорт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Покхара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ок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. 6 ч, 900 м). 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По пути посещение индуистского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храм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Манакамана</w:t>
            </w:r>
            <w:proofErr w:type="spellEnd"/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, расположенного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на вершине </w:t>
            </w:r>
            <w:proofErr w:type="gram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холма</w:t>
            </w:r>
            <w:proofErr w:type="gram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на высоте 1300 метров.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Манакамана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означает «желания». Люди верят, что богиня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Манакамана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Шакти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) исполняет желания тех, кто поклоняется ей с чистым сердцем. На горную вершину, где расположен храм, туристы поднимаются на канатной дороге. Здесь можно загадать самое заветное желание, которое должно непременно исполниться. Ночь в гостинице.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День 05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Покхара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Трек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Наяпул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Гандрук</w:t>
            </w:r>
            <w:proofErr w:type="spellEnd"/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 w:rsidP="00FE447B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Завтрак. Начальной точкой трека будет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Наяпул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(1070 м), расположенный в полутора часах от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Покхары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. Дальнейший переезд в деревню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Гандрук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(1940 м). Трек займет около 5-6 часо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в. Деревня </w:t>
            </w:r>
            <w:proofErr w:type="spellStart"/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Гандрук</w:t>
            </w:r>
            <w:proofErr w:type="spellEnd"/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считается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центром традиций народа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Гурунг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который 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говор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ит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на своем собственном языке тибетской группы. История народа насчитывает 8-9 тысяч лет, уклад жизни сохранился с древнейших времен. Посещение Музея народа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Гурунг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- здесь можно увидеть предметы быта, которые используются до наших дней. В ясную погоду с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Гандрук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открывается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вид на гору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Мачапучаре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(6993 м), единственн</w:t>
            </w:r>
            <w:r w:rsidR="00FE447B"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ую</w:t>
            </w: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в регионе, на которую ни разу не было восхождений - считается в Непале священной горой, домом бога Шивы, и </w:t>
            </w:r>
            <w:proofErr w:type="gram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объявлена</w:t>
            </w:r>
            <w:proofErr w:type="gram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закрытой для альпинизма. Ночь в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лодже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День 06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Трек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Гандруг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Джинуданда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Целебные горячие источники</w:t>
            </w:r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 w:rsidP="00FE447B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Завтрак. Продолжение трека до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Джинуданду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(1780 м), займет около 4 часов.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Джинуданда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- большая затерянная деревушка на склоне горы, её главная достопримечательность – ГОРЯЧИЕ ПРИРОДНЫЕ ИСТОЧНИКИ по соседству с горной рекой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Моди-Кхолой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. В деревне всего три – термальные ванны (эликсир молодости), они небольшие, чистые, тёплые и лечебные! Блаженство - лежать в горячей воде и слушать звук бегущей рядом бурным горным потоком реки. Вечером можно любоваться звёздами, </w:t>
            </w:r>
            <w:proofErr w:type="gram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наслаждаться тишиной и пить</w:t>
            </w:r>
            <w:proofErr w:type="gram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традиционный непальский чай с яблочным пирогом!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День 07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ТЕРМАЛЬНЫЕ </w:t>
            </w: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ЛЕЧЕБНЫЕ ВАННЫ</w:t>
            </w:r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 w:rsidP="00FE447B">
            <w:pPr>
              <w:shd w:val="clear" w:color="auto" w:fill="FFFFFF"/>
              <w:rPr>
                <w:rFonts w:ascii="Verdana" w:hAnsi="Verdana"/>
                <w:color w:val="002060"/>
                <w:sz w:val="24"/>
                <w:szCs w:val="24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lastRenderedPageBreak/>
              <w:t>Завтрак. Целый день отдыха на природных горячих источниках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День 08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Трек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Джинуданда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Сяули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Базар –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Покхара</w:t>
            </w:r>
            <w:proofErr w:type="spellEnd"/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Рассвет в Гималаях. Завтрак. Продолжение трека до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Сяули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Базар (1220 м), время в пути около 5 часов. Переезд до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Покхары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ок</w:t>
            </w:r>
            <w:proofErr w:type="spellEnd"/>
            <w:proofErr w:type="gram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2 часа) и трансфер в отель. После короткого отдыха, экскурсии в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Покхаре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: водопад Дэвида, пещера </w:t>
            </w:r>
            <w:proofErr w:type="spellStart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Махендра</w:t>
            </w:r>
            <w:proofErr w:type="spellEnd"/>
            <w:r w:rsidRPr="00FE447B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, храм Шивы, созданной самой природой в одной из сталактитовых пещер и Лагерь тибетских беженцев. Ночь в гостинице.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День 09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Покхара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Саранкот</w:t>
            </w:r>
            <w:proofErr w:type="spellEnd"/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 xml:space="preserve"> - Катманду</w:t>
            </w:r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FE447B" w:rsidRDefault="00113BF0" w:rsidP="00FE447B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Утренний</w:t>
            </w:r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живописный мини-трек на вершину холма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Саранкот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</w:t>
            </w:r>
            <w:proofErr w:type="spellEnd"/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2 ч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асов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) и встреча незабываемого «восхода солнца» над священными пиками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Аннапурны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Саранкот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– горная деревушка со смотровой площадкой, расположена 10 км на севере от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Покхары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на прек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расном холме высотой 1590 м. 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В это время с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Саранкота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при хорошей погоде открывается потрясающий вид на Гималаи в прозрачном утреннем свете у подножья долина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Покхара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Здесь</w:t>
            </w:r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кажется, что гор можно коснуться рукой - так близко они. Их красота настолько невероятна, что кажется нереальной! Возвращение в отель. Завтрак. Возвращение до Катманду (</w:t>
            </w:r>
            <w:proofErr w:type="spellStart"/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7 ч). Прибытие, размещение и отдых. Ночь в гостинице.</w:t>
            </w:r>
          </w:p>
        </w:tc>
      </w:tr>
      <w:tr w:rsidR="00FE447B" w:rsidRPr="00FE447B" w:rsidTr="00113BF0">
        <w:tc>
          <w:tcPr>
            <w:tcW w:w="2235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День 10</w:t>
            </w:r>
          </w:p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b/>
                <w:color w:val="002060"/>
                <w:sz w:val="24"/>
                <w:szCs w:val="24"/>
                <w:lang w:eastAsia="ru-RU"/>
              </w:rPr>
              <w:t>Вылет домой</w:t>
            </w:r>
          </w:p>
          <w:p w:rsidR="00113BF0" w:rsidRPr="00FE447B" w:rsidRDefault="00113BF0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13BF0" w:rsidRPr="00113BF0" w:rsidRDefault="00113BF0" w:rsidP="00113BF0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 желанию</w:t>
            </w:r>
            <w:r w:rsidR="00BE32F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-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Полет над Гималаями (доп. плата: 330 долл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на чел, время полета </w:t>
            </w:r>
            <w:proofErr w:type="spellStart"/>
            <w:proofErr w:type="gram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1 ч).</w:t>
            </w:r>
          </w:p>
          <w:p w:rsidR="00113BF0" w:rsidRPr="00BE32FE" w:rsidRDefault="00113BF0" w:rsidP="00BE32FE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Во время полета возможность увидеть высочайшие вершины мира - Эверест (8848 м),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Макалу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(8463 м), 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Лхотце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(8516 м), Шиша-</w:t>
            </w:r>
            <w:proofErr w:type="spellStart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Пагма</w:t>
            </w:r>
            <w:proofErr w:type="spellEnd"/>
            <w:r w:rsidRPr="00113BF0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(8013 м) и др. Обратно в отель. Завтрак. Освобождение номера в 12:00. Трансфер</w:t>
            </w:r>
            <w:r w:rsidR="00FE447B" w:rsidRPr="00FE447B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в аэропорт и вылет из Катманду.</w:t>
            </w:r>
          </w:p>
        </w:tc>
      </w:tr>
    </w:tbl>
    <w:p w:rsidR="00113BF0" w:rsidRPr="00113BF0" w:rsidRDefault="00113BF0">
      <w:pPr>
        <w:rPr>
          <w:rFonts w:ascii="Verdana" w:hAnsi="Verdana"/>
          <w:color w:val="002060"/>
          <w:sz w:val="24"/>
          <w:szCs w:val="24"/>
        </w:rPr>
      </w:pPr>
    </w:p>
    <w:p w:rsidR="00A5105A" w:rsidRPr="00113BF0" w:rsidRDefault="00A5105A">
      <w:pPr>
        <w:rPr>
          <w:rFonts w:ascii="Verdana" w:hAnsi="Verdana"/>
          <w:color w:val="002060"/>
          <w:sz w:val="24"/>
          <w:szCs w:val="24"/>
        </w:rPr>
      </w:pPr>
    </w:p>
    <w:p w:rsidR="00A5105A" w:rsidRPr="00BE32FE" w:rsidRDefault="00113BF0">
      <w:pPr>
        <w:rPr>
          <w:rFonts w:ascii="Verdana" w:hAnsi="Verdana"/>
          <w:b/>
          <w:color w:val="002060"/>
          <w:sz w:val="28"/>
          <w:szCs w:val="28"/>
          <w:u w:val="single"/>
          <w:shd w:val="clear" w:color="auto" w:fill="FFFFFF"/>
        </w:rPr>
      </w:pPr>
      <w:r w:rsidRPr="00FE447B">
        <w:rPr>
          <w:rFonts w:ascii="Verdana" w:hAnsi="Verdana"/>
          <w:b/>
          <w:color w:val="002060"/>
          <w:sz w:val="28"/>
          <w:szCs w:val="28"/>
          <w:u w:val="single"/>
          <w:shd w:val="clear" w:color="auto" w:fill="FFFFFF"/>
        </w:rPr>
        <w:t>Стоимость</w:t>
      </w:r>
      <w:r w:rsidR="00BE32FE">
        <w:rPr>
          <w:rFonts w:ascii="Verdana" w:hAnsi="Verdana"/>
          <w:b/>
          <w:color w:val="002060"/>
          <w:sz w:val="28"/>
          <w:szCs w:val="28"/>
          <w:u w:val="single"/>
          <w:shd w:val="clear" w:color="auto" w:fill="FFFFFF"/>
        </w:rPr>
        <w:t xml:space="preserve"> в</w:t>
      </w:r>
      <w:r w:rsidRPr="00FE447B">
        <w:rPr>
          <w:rFonts w:ascii="Verdana" w:hAnsi="Verdana"/>
          <w:b/>
          <w:color w:val="002060"/>
          <w:sz w:val="28"/>
          <w:szCs w:val="28"/>
          <w:u w:val="single"/>
          <w:shd w:val="clear" w:color="auto" w:fill="FFFFFF"/>
        </w:rPr>
        <w:t xml:space="preserve"> US$ на </w:t>
      </w:r>
      <w:proofErr w:type="gramStart"/>
      <w:r w:rsidRPr="00FE447B">
        <w:rPr>
          <w:rFonts w:ascii="Verdana" w:hAnsi="Verdana"/>
          <w:b/>
          <w:color w:val="002060"/>
          <w:sz w:val="28"/>
          <w:szCs w:val="28"/>
          <w:u w:val="single"/>
          <w:shd w:val="clear" w:color="auto" w:fill="FFFFFF"/>
        </w:rPr>
        <w:t>чел-ка</w:t>
      </w:r>
      <w:proofErr w:type="gramEnd"/>
      <w:r w:rsidR="00FE447B">
        <w:rPr>
          <w:rFonts w:ascii="Verdana" w:hAnsi="Verdana"/>
          <w:b/>
          <w:color w:val="002060"/>
          <w:sz w:val="28"/>
          <w:szCs w:val="28"/>
          <w:u w:val="single"/>
          <w:shd w:val="clear" w:color="auto" w:fill="FFFFFF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3BF0" w:rsidRPr="00113BF0" w:rsidTr="00113BF0">
        <w:tc>
          <w:tcPr>
            <w:tcW w:w="2392" w:type="dxa"/>
          </w:tcPr>
          <w:p w:rsidR="00113BF0" w:rsidRPr="00FE447B" w:rsidRDefault="00113BF0" w:rsidP="00FE447B">
            <w:pPr>
              <w:jc w:val="center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t>Категория отеля</w:t>
            </w:r>
          </w:p>
        </w:tc>
        <w:tc>
          <w:tcPr>
            <w:tcW w:w="2393" w:type="dxa"/>
          </w:tcPr>
          <w:p w:rsidR="00113BF0" w:rsidRPr="00FE447B" w:rsidRDefault="00113BF0" w:rsidP="00FE447B">
            <w:pPr>
              <w:jc w:val="center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t>Группа  4 человека</w:t>
            </w:r>
          </w:p>
        </w:tc>
        <w:tc>
          <w:tcPr>
            <w:tcW w:w="2393" w:type="dxa"/>
          </w:tcPr>
          <w:p w:rsidR="00113BF0" w:rsidRPr="00FE447B" w:rsidRDefault="00113BF0" w:rsidP="00FE447B">
            <w:pPr>
              <w:jc w:val="center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t>Группа 6 человек</w:t>
            </w:r>
          </w:p>
        </w:tc>
        <w:tc>
          <w:tcPr>
            <w:tcW w:w="2393" w:type="dxa"/>
          </w:tcPr>
          <w:p w:rsidR="00113BF0" w:rsidRPr="00FE447B" w:rsidRDefault="00113BF0" w:rsidP="00FE447B">
            <w:pPr>
              <w:jc w:val="center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t>Доплата за одноместный номер</w:t>
            </w:r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 xml:space="preserve">(Катманду и </w:t>
            </w:r>
            <w:proofErr w:type="spellStart"/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t>Покхара</w:t>
            </w:r>
            <w:proofErr w:type="spellEnd"/>
            <w:r w:rsidRPr="00FE447B">
              <w:rPr>
                <w:rFonts w:ascii="Verdana" w:hAnsi="Verdana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113BF0" w:rsidRPr="00113BF0" w:rsidTr="00113BF0">
        <w:tc>
          <w:tcPr>
            <w:tcW w:w="2392" w:type="dxa"/>
          </w:tcPr>
          <w:p w:rsidR="00113BF0" w:rsidRPr="00113BF0" w:rsidRDefault="00113BF0" w:rsidP="00FE447B">
            <w:pPr>
              <w:jc w:val="center"/>
              <w:rPr>
                <w:rFonts w:ascii="Verdana" w:hAnsi="Verdana"/>
                <w:color w:val="002060"/>
                <w:sz w:val="24"/>
                <w:szCs w:val="24"/>
              </w:rPr>
            </w:pPr>
            <w:r w:rsidRPr="00113BF0">
              <w:rPr>
                <w:rFonts w:ascii="Verdana" w:hAnsi="Verdana"/>
                <w:color w:val="002060"/>
                <w:sz w:val="24"/>
                <w:szCs w:val="24"/>
              </w:rPr>
              <w:t>3*</w:t>
            </w:r>
          </w:p>
        </w:tc>
        <w:tc>
          <w:tcPr>
            <w:tcW w:w="2393" w:type="dxa"/>
          </w:tcPr>
          <w:p w:rsidR="00113BF0" w:rsidRPr="00113BF0" w:rsidRDefault="00113BF0" w:rsidP="00FE447B">
            <w:pPr>
              <w:jc w:val="center"/>
              <w:rPr>
                <w:rFonts w:ascii="Verdana" w:hAnsi="Verdana"/>
                <w:color w:val="002060"/>
                <w:sz w:val="24"/>
                <w:szCs w:val="24"/>
              </w:rPr>
            </w:pPr>
            <w:r w:rsidRPr="00113BF0">
              <w:rPr>
                <w:rFonts w:ascii="Verdana" w:hAnsi="Verdana"/>
                <w:color w:val="002060"/>
                <w:sz w:val="24"/>
                <w:szCs w:val="24"/>
              </w:rPr>
              <w:t>1405</w:t>
            </w:r>
          </w:p>
        </w:tc>
        <w:tc>
          <w:tcPr>
            <w:tcW w:w="2393" w:type="dxa"/>
          </w:tcPr>
          <w:p w:rsidR="00113BF0" w:rsidRPr="00113BF0" w:rsidRDefault="00113BF0" w:rsidP="00FE447B">
            <w:pPr>
              <w:jc w:val="center"/>
              <w:rPr>
                <w:rFonts w:ascii="Verdana" w:hAnsi="Verdana"/>
                <w:color w:val="002060"/>
                <w:sz w:val="24"/>
                <w:szCs w:val="24"/>
              </w:rPr>
            </w:pPr>
            <w:r w:rsidRPr="00113BF0">
              <w:rPr>
                <w:rFonts w:ascii="Verdana" w:hAnsi="Verdana"/>
                <w:color w:val="002060"/>
                <w:sz w:val="24"/>
                <w:szCs w:val="24"/>
              </w:rPr>
              <w:t>1290</w:t>
            </w:r>
          </w:p>
        </w:tc>
        <w:tc>
          <w:tcPr>
            <w:tcW w:w="2393" w:type="dxa"/>
          </w:tcPr>
          <w:p w:rsidR="00113BF0" w:rsidRPr="00113BF0" w:rsidRDefault="00113BF0" w:rsidP="00FE447B">
            <w:pPr>
              <w:jc w:val="center"/>
              <w:rPr>
                <w:rFonts w:ascii="Verdana" w:hAnsi="Verdana"/>
                <w:color w:val="002060"/>
                <w:sz w:val="24"/>
                <w:szCs w:val="24"/>
              </w:rPr>
            </w:pPr>
            <w:r w:rsidRPr="00113BF0">
              <w:rPr>
                <w:rFonts w:ascii="Verdana" w:hAnsi="Verdana"/>
                <w:color w:val="002060"/>
                <w:sz w:val="24"/>
                <w:szCs w:val="24"/>
              </w:rPr>
              <w:t>455</w:t>
            </w:r>
          </w:p>
        </w:tc>
      </w:tr>
    </w:tbl>
    <w:p w:rsidR="00FE447B" w:rsidRDefault="00FE447B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</w:p>
    <w:p w:rsidR="00FE447B" w:rsidRDefault="00FE447B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</w:pPr>
      <w:r w:rsidRPr="00113BF0"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  <w:t>В стоимость включено: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lastRenderedPageBreak/>
        <w:br/>
      </w:r>
    </w:p>
    <w:p w:rsid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-Размещение в гостинице 3* в двухместном номере с завтраком;</w:t>
      </w:r>
      <w:proofErr w:type="gramStart"/>
      <w:r w:rsidR="00FE447B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</w:t>
      </w:r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Размещение в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лоджах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с завтраком в двухместных номерах;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-Трансфер по программе;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-Экскурсии с русско</w:t>
      </w:r>
      <w:r w:rsidR="00BE32FE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язычны</w:t>
      </w: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м гидом по всему маршруту;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-Одно катание на лодке по озере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Фева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в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Покхаре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ок</w:t>
      </w:r>
      <w:proofErr w:type="spellEnd"/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1 ч);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Пермит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для района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Аннапурны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-Авиабилеты + таксы: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Покхара-Джомсом-Покхара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-Авиабилеты + таксы: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Покхара-Джомсом-Покхара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(для горного гида);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-Все входные билеты по программе;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-Один прощальный ужин с непальской кухней и народными танцами;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</w:pPr>
      <w:r w:rsidRPr="00113BF0">
        <w:rPr>
          <w:rFonts w:ascii="Verdana" w:eastAsia="Times New Roman" w:hAnsi="Verdana" w:cs="Times New Roman"/>
          <w:b/>
          <w:color w:val="002060"/>
          <w:sz w:val="28"/>
          <w:szCs w:val="28"/>
          <w:u w:val="single"/>
          <w:lang w:eastAsia="ru-RU"/>
        </w:rPr>
        <w:t>Дополнительно оплачивается: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-Непальская виза (по прилету в аэропорту): US$ 25 на </w:t>
      </w:r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чел-ка</w:t>
      </w:r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(15 дней);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+ 1 фото (3х4);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-Обеды и ужины в Катманду,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Покхаре</w:t>
      </w:r>
      <w:proofErr w:type="spell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и во время трека (от 10 </w:t>
      </w:r>
      <w:proofErr w:type="spellStart"/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долл</w:t>
      </w:r>
      <w:proofErr w:type="spellEnd"/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на чел за раз)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-Личные расходы и напитки;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-Международная мед</w:t>
      </w:r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.</w:t>
      </w:r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с</w:t>
      </w:r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траховка на активный отдых;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-Чаевые: гиду, водителю, носильщикам и </w:t>
      </w:r>
      <w:proofErr w:type="spell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т</w:t>
      </w:r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.д</w:t>
      </w:r>
      <w:proofErr w:type="spellEnd"/>
      <w:proofErr w:type="gramEnd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-Все прочие расходы не указанные в программе;</w:t>
      </w:r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</w:p>
    <w:p w:rsidR="00113BF0" w:rsidRPr="00113BF0" w:rsidRDefault="00016ACC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*Для приготовления </w:t>
      </w:r>
      <w:proofErr w:type="spellStart"/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пермита</w:t>
      </w:r>
      <w:proofErr w:type="spellEnd"/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необходимо предоставить: (эл.</w:t>
      </w:r>
      <w:r w:rsidR="00113BF0"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К</w:t>
      </w:r>
      <w:r w:rsidR="00113BF0"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опи</w:t>
      </w:r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и паспорта</w:t>
      </w:r>
      <w:r w:rsidR="00113BF0"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+ 2 цветные фото паспорт</w:t>
      </w:r>
      <w:r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ного</w:t>
      </w:r>
      <w:r w:rsidR="00113BF0"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размера)</w:t>
      </w:r>
      <w:proofErr w:type="gramEnd"/>
    </w:p>
    <w:p w:rsidR="00113BF0" w:rsidRPr="00113BF0" w:rsidRDefault="00113BF0" w:rsidP="00113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113BF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</w:p>
    <w:p w:rsidR="00113BF0" w:rsidRPr="00113BF0" w:rsidRDefault="00113BF0">
      <w:pPr>
        <w:rPr>
          <w:rFonts w:ascii="Verdana" w:hAnsi="Verdana"/>
          <w:color w:val="002060"/>
          <w:sz w:val="24"/>
          <w:szCs w:val="24"/>
        </w:rPr>
      </w:pPr>
      <w:bookmarkStart w:id="0" w:name="_GoBack"/>
      <w:bookmarkEnd w:id="0"/>
    </w:p>
    <w:sectPr w:rsidR="00113BF0" w:rsidRPr="0011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A2"/>
    <w:rsid w:val="00016ACC"/>
    <w:rsid w:val="00113BF0"/>
    <w:rsid w:val="002B60EB"/>
    <w:rsid w:val="008E11A2"/>
    <w:rsid w:val="00A5105A"/>
    <w:rsid w:val="00BE32FE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4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2019-01-16T11:08:00Z</dcterms:created>
  <dcterms:modified xsi:type="dcterms:W3CDTF">2019-01-16T11:08:00Z</dcterms:modified>
</cp:coreProperties>
</file>